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38" w:before="0" w:after="0"/>
        <w:jc w:val="right"/>
        <w:rPr>
          <w:rFonts w:ascii="Liberation Serif" w:hAnsi="Liberation Serif" w:cs="Liberation Serif"/>
          <w:color w:val="242424"/>
          <w:sz w:val="24"/>
          <w:szCs w:val="24"/>
          <w:lang w:eastAsia="ru-RU"/>
        </w:rPr>
      </w:pPr>
      <w:r>
        <w:rPr>
          <w:rFonts w:cs="Liberation Serif" w:ascii="Liberation Serif" w:hAnsi="Liberation Serif"/>
          <w:color w:val="242424"/>
          <w:sz w:val="24"/>
          <w:szCs w:val="24"/>
          <w:lang w:eastAsia="ru-RU"/>
        </w:rPr>
        <w:t>Приложение № 1</w:t>
      </w:r>
    </w:p>
    <w:p>
      <w:pPr>
        <w:pStyle w:val="Normal"/>
        <w:spacing w:lineRule="atLeast" w:line="238" w:before="0" w:after="0"/>
        <w:jc w:val="right"/>
        <w:rPr>
          <w:rFonts w:ascii="Liberation Serif" w:hAnsi="Liberation Serif" w:cs="Liberation Serif"/>
          <w:color w:val="242424"/>
          <w:sz w:val="24"/>
          <w:szCs w:val="24"/>
          <w:lang w:eastAsia="ru-RU"/>
        </w:rPr>
      </w:pPr>
      <w:r>
        <w:rPr>
          <w:rFonts w:cs="Liberation Serif" w:ascii="Liberation Serif" w:hAnsi="Liberation Serif"/>
          <w:color w:val="242424"/>
          <w:sz w:val="24"/>
          <w:szCs w:val="24"/>
          <w:lang w:eastAsia="ru-RU"/>
        </w:rPr>
        <w:t>к постановлению администрации</w:t>
      </w:r>
    </w:p>
    <w:p>
      <w:pPr>
        <w:pStyle w:val="Normal"/>
        <w:spacing w:lineRule="atLeast" w:line="238" w:before="0" w:after="0"/>
        <w:jc w:val="right"/>
        <w:rPr>
          <w:rFonts w:ascii="Liberation Serif" w:hAnsi="Liberation Serif" w:cs="Liberation Serif"/>
          <w:color w:val="242424"/>
          <w:sz w:val="24"/>
          <w:szCs w:val="24"/>
          <w:lang w:eastAsia="ru-RU"/>
        </w:rPr>
      </w:pPr>
      <w:r>
        <w:rPr>
          <w:rFonts w:cs="Liberation Serif" w:ascii="Liberation Serif" w:hAnsi="Liberation Serif"/>
          <w:color w:val="242424"/>
          <w:sz w:val="24"/>
          <w:szCs w:val="24"/>
          <w:lang w:eastAsia="ru-RU"/>
        </w:rPr>
        <w:t>Тугулымского муниципального округа</w:t>
      </w:r>
    </w:p>
    <w:p>
      <w:pPr>
        <w:pStyle w:val="Normal"/>
        <w:spacing w:lineRule="atLeast" w:line="238" w:before="0" w:after="0"/>
        <w:jc w:val="right"/>
        <w:rPr>
          <w:rFonts w:ascii="Liberation Serif" w:hAnsi="Liberation Serif" w:cs="Liberation Serif"/>
          <w:color w:val="242424"/>
          <w:sz w:val="24"/>
          <w:szCs w:val="24"/>
          <w:lang w:eastAsia="ru-RU"/>
        </w:rPr>
      </w:pPr>
      <w:r>
        <w:rPr>
          <w:rFonts w:cs="Liberation Serif" w:ascii="Liberation Serif" w:hAnsi="Liberation Serif"/>
          <w:color w:val="242424"/>
          <w:sz w:val="24"/>
          <w:szCs w:val="24"/>
          <w:lang w:eastAsia="ru-RU"/>
        </w:rPr>
        <w:t>от 27.02.2026 № 106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Техническое задание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color w:val="242424"/>
          <w:sz w:val="24"/>
          <w:szCs w:val="24"/>
          <w:lang w:eastAsia="ru-RU"/>
        </w:rPr>
        <w:t xml:space="preserve">на разработку инвестиционной программы муниципальному унитарному предприятию «Управление жилищно-коммунального хозяйства и автомобильного транспорта Тугулымского муниципального округа» </w:t>
      </w:r>
      <w:r>
        <w:rPr>
          <w:rFonts w:cs="Liberation Serif" w:ascii="Liberation Serif" w:hAnsi="Liberation Serif"/>
          <w:sz w:val="24"/>
          <w:szCs w:val="24"/>
        </w:rPr>
        <w:t>развития систем теплоснабжения, водоснабжения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и водоотведения Тугулымского муниципального округа на 2026-2031 годы»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(далее – техническое задание)</w:t>
      </w:r>
    </w:p>
    <w:p>
      <w:pPr>
        <w:pStyle w:val="Normal"/>
        <w:tabs>
          <w:tab w:val="clear" w:pos="708"/>
          <w:tab w:val="left" w:pos="10065" w:leader="none"/>
        </w:tabs>
        <w:spacing w:lineRule="auto" w:line="240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  <w:tab w:val="left" w:pos="7371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Основание для разработки технического задания:</w:t>
      </w:r>
    </w:p>
    <w:p>
      <w:pPr>
        <w:pStyle w:val="Normal"/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1.1. </w:t>
      </w:r>
      <w:bookmarkStart w:id="0" w:name="_Hlk223092934"/>
      <w:r>
        <w:rPr>
          <w:rFonts w:cs="Liberation Serif" w:ascii="Liberation Serif" w:hAnsi="Liberation Serif"/>
          <w:sz w:val="24"/>
          <w:szCs w:val="24"/>
        </w:rPr>
        <w:t xml:space="preserve">Федеральный закон от 27 июля 2010 года № 190-ФЗ «О теплоснабжении», </w:t>
      </w:r>
      <w:bookmarkEnd w:id="0"/>
    </w:p>
    <w:p>
      <w:pPr>
        <w:pStyle w:val="Normal"/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1.2. Федеральный закон от 07 декабря 2011 года № 416-ФЗ «О водоснабжении и водоотведении»;</w:t>
      </w:r>
    </w:p>
    <w:p>
      <w:pPr>
        <w:pStyle w:val="Normal"/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color w:val="22272F"/>
          <w:sz w:val="24"/>
          <w:szCs w:val="24"/>
          <w:shd w:fill="FFFFFF" w:val="clear"/>
        </w:rPr>
      </w:pPr>
      <w:r>
        <w:rPr>
          <w:rFonts w:cs="Liberation Serif" w:ascii="Liberation Serif" w:hAnsi="Liberation Serif"/>
          <w:sz w:val="24"/>
          <w:szCs w:val="24"/>
        </w:rPr>
        <w:t xml:space="preserve">1.3. </w:t>
      </w:r>
      <w:bookmarkStart w:id="1" w:name="_Hlk223092993"/>
      <w:r>
        <w:rPr>
          <w:rFonts w:cs="Liberation Serif" w:ascii="Liberation Serif" w:hAnsi="Liberation Serif"/>
          <w:color w:val="22272F"/>
          <w:sz w:val="24"/>
          <w:szCs w:val="24"/>
          <w:shd w:fill="FFFFFF" w:val="clear"/>
        </w:rPr>
        <w:t>Постановление Правительства Российской Федерации от 5 мая 2014 года N 410</w:t>
      </w:r>
      <w:r>
        <w:rPr>
          <w:rFonts w:cs="Liberation Serif" w:ascii="Liberation Serif" w:hAnsi="Liberation Serif"/>
          <w:color w:val="22272F"/>
          <w:sz w:val="24"/>
          <w:szCs w:val="24"/>
        </w:rPr>
        <w:br/>
      </w:r>
      <w:r>
        <w:rPr>
          <w:rFonts w:cs="Liberation Serif" w:ascii="Liberation Serif" w:hAnsi="Liberation Serif"/>
          <w:color w:val="22272F"/>
          <w:sz w:val="24"/>
          <w:szCs w:val="24"/>
          <w:shd w:fill="FFFFFF" w:val="clear"/>
        </w:rPr>
        <w:t>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</w:t>
      </w:r>
      <w:bookmarkEnd w:id="1"/>
      <w:r>
        <w:rPr>
          <w:rFonts w:cs="Liberation Serif" w:ascii="Liberation Serif" w:hAnsi="Liberation Serif"/>
          <w:color w:val="22272F"/>
          <w:sz w:val="24"/>
          <w:szCs w:val="24"/>
          <w:shd w:fill="FFFFFF" w:val="clear"/>
        </w:rPr>
        <w:t xml:space="preserve">», </w:t>
      </w:r>
    </w:p>
    <w:p>
      <w:pPr>
        <w:pStyle w:val="Normal"/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color w:val="22272F"/>
          <w:sz w:val="24"/>
          <w:szCs w:val="24"/>
          <w:shd w:fill="FFFFFF" w:val="clear"/>
        </w:rPr>
        <w:t xml:space="preserve">1.4. </w:t>
      </w:r>
      <w:r>
        <w:rPr>
          <w:rFonts w:cs="Liberation Serif" w:ascii="Liberation Serif" w:hAnsi="Liberation Serif"/>
          <w:sz w:val="24"/>
          <w:szCs w:val="24"/>
        </w:rPr>
        <w:t xml:space="preserve">Постановление Правительства Российской Федерации от 29 июля 2013 года № 641 </w:t>
      </w:r>
      <w:r>
        <w:rPr>
          <w:rFonts w:cs="Liberation Serif" w:ascii="Liberation Serif" w:hAnsi="Liberation Serif"/>
          <w:b/>
          <w:bCs/>
          <w:sz w:val="24"/>
          <w:szCs w:val="24"/>
        </w:rPr>
        <w:t>«</w:t>
      </w:r>
      <w:r>
        <w:rPr>
          <w:rFonts w:cs="Liberation Serif" w:ascii="Liberation Serif" w:hAnsi="Liberation Serif"/>
          <w:sz w:val="24"/>
          <w:szCs w:val="24"/>
        </w:rPr>
        <w:t>Об инвестиционных и производственных программах организаций, осуществляющих деятельность в сфере водоснабжения и водоотведения</w:t>
      </w:r>
      <w:r>
        <w:rPr>
          <w:rFonts w:cs="Liberation Serif" w:ascii="Liberation Serif" w:hAnsi="Liberation Serif"/>
          <w:b/>
          <w:bCs/>
          <w:sz w:val="24"/>
          <w:szCs w:val="24"/>
        </w:rPr>
        <w:t>»</w:t>
      </w:r>
      <w:r>
        <w:rPr>
          <w:rFonts w:cs="Liberation Serif" w:ascii="Liberation Serif" w:hAnsi="Liberation Serif"/>
          <w:sz w:val="24"/>
          <w:szCs w:val="24"/>
        </w:rPr>
        <w:t>,</w:t>
      </w:r>
    </w:p>
    <w:p>
      <w:pPr>
        <w:pStyle w:val="Normal"/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1.5. Постановление Правительства Российской Федерации от 29 июля 2013 года № 644 </w:t>
      </w:r>
      <w:r>
        <w:rPr>
          <w:rStyle w:val="Strong"/>
          <w:rFonts w:cs="Liberation Serif" w:ascii="Liberation Serif" w:hAnsi="Liberation Serif"/>
          <w:b w:val="false"/>
          <w:bCs w:val="false"/>
          <w:sz w:val="24"/>
          <w:szCs w:val="24"/>
          <w:shd w:fill="FFFFFF" w:val="clear"/>
        </w:rPr>
        <w:t>«Об утверждении Правил холодного водоснабжения и водоотведения и о внесении изменений в некоторые акты Правительства Российской Федерации»</w:t>
      </w:r>
      <w:r>
        <w:rPr>
          <w:rFonts w:cs="Liberation Serif" w:ascii="Liberation Serif" w:hAnsi="Liberation Serif"/>
          <w:sz w:val="24"/>
          <w:szCs w:val="24"/>
          <w:shd w:fill="FFFFFF" w:val="clear"/>
        </w:rPr>
        <w:t>.</w:t>
      </w:r>
      <w:r>
        <w:rPr>
          <w:rFonts w:cs="Liberation Serif" w:ascii="Liberation Serif" w:hAnsi="Liberation Serif"/>
          <w:b/>
          <w:bCs/>
          <w:sz w:val="24"/>
          <w:szCs w:val="24"/>
          <w:shd w:fill="FFFFFF" w:val="clear"/>
        </w:rPr>
        <w:t> </w:t>
      </w:r>
    </w:p>
    <w:p>
      <w:pPr>
        <w:pStyle w:val="Normal"/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</w:rPr>
        <w:t xml:space="preserve">1.6. Схема теплоснабжения Тугулымского городского округа на период с 2023 по 2037 годы, утвержденная 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постановлением администрации Тугулымского городского округа от 01.03.2023 № 73 «Об утверждении схемы теплоснабжения Тугулымского городского округа на период с 2023 по 2037 годы», </w:t>
      </w:r>
    </w:p>
    <w:p>
      <w:pPr>
        <w:pStyle w:val="Normal"/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1.7. С</w:t>
      </w:r>
      <w:r>
        <w:rPr>
          <w:rFonts w:cs="Liberation Serif" w:ascii="Liberation Serif" w:hAnsi="Liberation Serif"/>
          <w:sz w:val="24"/>
          <w:szCs w:val="24"/>
        </w:rPr>
        <w:t xml:space="preserve">хема водоснабжения и водоотведения Тугулымского городского округа, утвержденные 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постановлением администрации Тугулымского городского округа </w:t>
      </w:r>
      <w:bookmarkStart w:id="2" w:name="_Hlk126225513"/>
      <w:r>
        <w:rPr>
          <w:rFonts w:cs="Liberation Serif" w:ascii="Liberation Serif" w:hAnsi="Liberation Serif"/>
          <w:sz w:val="24"/>
          <w:szCs w:val="24"/>
          <w:lang w:eastAsia="ru-RU"/>
        </w:rPr>
        <w:t>от 19.03.2015 № 99 «Об утверждении схемы водоснабжения и водоотведения Тугулымского городского округа на период до 2028 года».</w:t>
      </w:r>
      <w:bookmarkEnd w:id="2"/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Цели и задачи разработки инвестиционной программы </w:t>
        <w:br/>
        <w:t>МУП «УЖКХ и АТ ТМО» развития систем теплоснабжения, водоснабжения и водоотведения Тугулымского муниципального округа на 2026-2031 годы.</w:t>
      </w:r>
    </w:p>
    <w:p>
      <w:pPr>
        <w:pStyle w:val="ListParagraph"/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2.1. Основные цели разработки инвестиционной программы:</w:t>
      </w:r>
    </w:p>
    <w:p>
      <w:pPr>
        <w:pStyle w:val="ListParagraph"/>
        <w:tabs>
          <w:tab w:val="clear" w:pos="708"/>
          <w:tab w:val="left" w:pos="1134" w:leader="none"/>
          <w:tab w:val="left" w:pos="9498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Определение финансовых потребностей с определением источника финансирования и графика реализации необходимых мероприятий по: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повышению надежности, качества и эффективности работы систем теплоснабжения, водоснабжения и водоотведения </w:t>
      </w:r>
      <w:r>
        <w:rPr>
          <w:rFonts w:cs="Liberation Serif" w:ascii="Liberation Serif" w:hAnsi="Liberation Serif"/>
          <w:sz w:val="24"/>
          <w:szCs w:val="24"/>
        </w:rPr>
        <w:t xml:space="preserve">Тугулымского муниципального округа, 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находящихся в хозяйственном ведении муниципального унитарного предприятия «УЖКХ и АТ ТМО»; 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стабильной подаче питьевой воды нормативного качества </w:t>
        <w:br/>
        <w:t xml:space="preserve">в соответствии с положениями </w:t>
      </w:r>
      <w:r>
        <w:rPr>
          <w:rFonts w:cs="Liberation Serif" w:ascii="Liberation Serif" w:hAnsi="Liberation Serif"/>
          <w:sz w:val="24"/>
          <w:szCs w:val="24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и СанПиН1.2.3685-21 «Гигиенические нормативы и требования к обеспечению безопасности и (или) безвредности для человека факторов среды обитания»</w:t>
      </w:r>
      <w:r>
        <w:rPr>
          <w:rFonts w:cs="Liberation Serif" w:ascii="Liberation Serif" w:hAnsi="Liberation Serif"/>
          <w:sz w:val="24"/>
          <w:szCs w:val="24"/>
          <w:lang w:eastAsia="ru-RU"/>
        </w:rPr>
        <w:t>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строительству и модернизации объектов коммунальной инфраструктуры, 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повышению качества и надежности предоставления коммунальных услуг населению по теплоснабжению, водоснабжению и водоотведению, 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удовлетворению потребностей в теплоснабжении, водоснабжении и водоотведении для объектов перспективного строительства: жилых домов, административных зданий и иных объектов района,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по улучшению экологической и санитарной обстановки в Тугулымском муниципальном округе и объектов социально культурного назначения,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снижение негативного воздействия на водные объекты от сбросов сточных вод. 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2.2 Основные задачи</w:t>
      </w:r>
      <w:r>
        <w:rPr>
          <w:rFonts w:cs="Liberation Serif" w:ascii="Liberation Serif" w:hAnsi="Liberation Serif"/>
          <w:sz w:val="24"/>
          <w:szCs w:val="24"/>
        </w:rPr>
        <w:t xml:space="preserve"> разработки инвестиционной программы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: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осуществить мероприятия по </w:t>
      </w:r>
      <w:r>
        <w:rPr>
          <w:rFonts w:cs="Liberation Serif" w:ascii="Liberation Serif" w:hAnsi="Liberation Serif"/>
          <w:sz w:val="24"/>
          <w:szCs w:val="24"/>
        </w:rPr>
        <w:t xml:space="preserve">разработке проектных и изыскательских работ в целях модернизации и развития систем водоснабжения и водоотведения,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осуществить мероприятия по </w:t>
      </w:r>
      <w:r>
        <w:rPr>
          <w:rFonts w:cs="Liberation Serif" w:ascii="Liberation Serif" w:hAnsi="Liberation Serif"/>
          <w:sz w:val="24"/>
          <w:szCs w:val="24"/>
        </w:rPr>
        <w:t>выполнению проектных работ в целях модернизации и развития систем теплоснабжения, водоснабжения и водоотведения.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2.3 Перечень объектов, для которых предполагается обеспечить </w:t>
      </w:r>
      <w:r>
        <w:rPr>
          <w:rFonts w:cs="Liberation Serif" w:ascii="Liberation Serif" w:hAnsi="Liberation Serif"/>
          <w:sz w:val="24"/>
          <w:szCs w:val="24"/>
        </w:rPr>
        <w:t xml:space="preserve">разработку проектных и изыскательских работ в целях реконструкции объектов </w:t>
      </w:r>
      <w:r>
        <w:rPr>
          <w:rFonts w:cs="Liberation Serif" w:ascii="Liberation Serif" w:hAnsi="Liberation Serif"/>
          <w:sz w:val="24"/>
          <w:szCs w:val="24"/>
          <w:lang w:eastAsia="ru-RU"/>
        </w:rPr>
        <w:t>в рамках разрабатываемой инвестиционной программы: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tbl>
      <w:tblPr>
        <w:tblW w:w="9571" w:type="dxa"/>
        <w:jc w:val="left"/>
        <w:tblInd w:w="1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4463"/>
        <w:gridCol w:w="5108"/>
      </w:tblGrid>
      <w:tr>
        <w:trPr>
          <w:trHeight w:val="315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Местоположение объекта</w:t>
            </w:r>
          </w:p>
        </w:tc>
      </w:tr>
      <w:tr>
        <w:trPr>
          <w:trHeight w:val="341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системы водоснабжения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п.г.т. Тугулым, микрорайон «Западный»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системы водоотведения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п.г.т. Тугулым, микрорайон «Западный»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системы водоснабжения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п.г.т. Тугулым, микрорайон «Восточный»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системы водоотведения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п.г.т. Тугулым, микрорайон «Восточный»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Реконструкция водозабора с установкой водоочистных сооружений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п.г.т. Тугулым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Реконструкция водозабора с установкой водоочистных сооружений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 Юшала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водозаборной скважины с целью ухода от открытых источников водоснабжения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 Юшала</w:t>
            </w:r>
          </w:p>
        </w:tc>
      </w:tr>
      <w:tr>
        <w:trPr>
          <w:trHeight w:val="345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Реконструкция водозабора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 Заводоуспенское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водозаборной скважины с целью ухода от открытых источников водоснабжения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 Заводоуспенское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Зоны санитарной охраны с получением санитарно-эпидемиологического заключения о соответствии проектов санитарным нормам и правилам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Тугулымский муниципальный округ</w:t>
            </w:r>
            <w:bookmarkStart w:id="3" w:name="_Hlk127445454"/>
            <w:bookmarkEnd w:id="3"/>
          </w:p>
        </w:tc>
      </w:tr>
    </w:tbl>
    <w:p>
      <w:pPr>
        <w:pStyle w:val="Normal"/>
        <w:tabs>
          <w:tab w:val="clear" w:pos="708"/>
          <w:tab w:val="left" w:pos="9498" w:leader="none"/>
        </w:tabs>
        <w:spacing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2.4. Перечень объектов, которые предполагаются к реализации путем строительства или </w:t>
      </w:r>
      <w:r>
        <w:rPr>
          <w:rFonts w:cs="Liberation Serif" w:ascii="Liberation Serif" w:hAnsi="Liberation Serif"/>
          <w:sz w:val="24"/>
          <w:szCs w:val="24"/>
        </w:rPr>
        <w:t xml:space="preserve">реконструкции </w:t>
      </w:r>
      <w:r>
        <w:rPr>
          <w:rFonts w:cs="Liberation Serif" w:ascii="Liberation Serif" w:hAnsi="Liberation Serif"/>
          <w:sz w:val="24"/>
          <w:szCs w:val="24"/>
          <w:lang w:eastAsia="ru-RU"/>
        </w:rPr>
        <w:t>в рамках разрабатываемой инвестиционной программы:</w:t>
      </w:r>
    </w:p>
    <w:tbl>
      <w:tblPr>
        <w:tblW w:w="9571" w:type="dxa"/>
        <w:jc w:val="left"/>
        <w:tblInd w:w="1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4463"/>
        <w:gridCol w:w="5108"/>
      </w:tblGrid>
      <w:tr>
        <w:trPr>
          <w:trHeight w:val="315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Местоположение объекта</w:t>
            </w:r>
          </w:p>
        </w:tc>
      </w:tr>
      <w:tr>
        <w:trPr>
          <w:trHeight w:val="341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Обустройство источников нецентрализованного водоснабжения (колодцы)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Тугулымский муниципальный округ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Обустройство источников централизованного водоснабжения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Тугулымский муниципальный округ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сетей водоснабжения и водоотведения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п.г.т. Тугулым, микрорайон «Западный»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сетей водоснабжения и водоотведения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п.г.т. Тугулым, микрорайон «Восточный»</w:t>
            </w:r>
          </w:p>
        </w:tc>
      </w:tr>
      <w:tr>
        <w:trPr>
          <w:trHeight w:val="313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Реконструкция водозабора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п.г.т. Тугулым</w:t>
            </w:r>
          </w:p>
        </w:tc>
      </w:tr>
      <w:tr>
        <w:trPr>
          <w:trHeight w:val="320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Реконструкция водозабора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 Юшала</w:t>
            </w:r>
          </w:p>
        </w:tc>
      </w:tr>
      <w:tr>
        <w:trPr>
          <w:trHeight w:val="320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водозаборной скважины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 Юшала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Ремонт сетей теплоснабжения водоснабжения и водоотведения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Тугулымский муниципальный округ</w:t>
            </w:r>
          </w:p>
        </w:tc>
      </w:tr>
      <w:tr>
        <w:trPr>
          <w:trHeight w:val="345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Строительство станции водоочистки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 Луговской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Замена погружных центробежных насосов на системах водоснабжения и водоотведения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Тугулымский муниципальный округ</w:t>
            </w:r>
          </w:p>
        </w:tc>
      </w:tr>
      <w:tr>
        <w:trPr>
          <w:trHeight w:val="519" w:hRule="atLeast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Реконструкция и ввод в эксплуатацию канализационных очистных сооружений</w:t>
            </w:r>
          </w:p>
        </w:tc>
        <w:tc>
          <w:tcPr>
            <w:tcW w:w="510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  <w:lang w:eastAsia="ru-RU"/>
              </w:rPr>
              <w:t>п.г.т. Тугулым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3. Основные требования к разрабатываемой инвестиционной программе: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3.1. Форма и содержание инвестиционной программы должны соответствовать требованиям, установленным Постановлениями Правительства РФ от 29.07.2013 № 641 «Об инвестиционных и производственных программах организаций, осуществляющих деятельность в сфере водоснабжения и водоотведения», </w:t>
      </w:r>
      <w:r>
        <w:rPr>
          <w:rFonts w:cs="Liberation Serif" w:ascii="Liberation Serif" w:hAnsi="Liberation Serif"/>
          <w:color w:val="22272F"/>
          <w:sz w:val="24"/>
          <w:szCs w:val="24"/>
          <w:shd w:fill="FFFFFF" w:val="clear"/>
        </w:rPr>
        <w:t xml:space="preserve">от 5 мая 2014 N 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электроэнергетике)», </w:t>
      </w:r>
      <w:r>
        <w:rPr>
          <w:rFonts w:cs="Liberation Serif" w:ascii="Liberation Serif" w:hAnsi="Liberation Serif"/>
          <w:sz w:val="24"/>
          <w:szCs w:val="24"/>
        </w:rPr>
        <w:t xml:space="preserve">Федеральному закону от 27.07.2010 года № 190-ФЗ «О теплоснабжении», 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Федеральному закону от 07.12.2011 № 416-ФЗ «О водоснабжении и водоотведении» и настоящему техническому заданию.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3.2. Инвестиционная программа разрабатывается на период с 2026</w:t>
        <w:br/>
        <w:t>по 2031 годы в соответствии со схемой водоснабжения и водоотведения, утвержденной постановлением администрации Тугулымского городского округа от 19.03.2015 № 99 «Об утверждении схемы водоснабжения и водоотведения Тугулымского городского округа на период до 2028 года» и с</w:t>
      </w:r>
      <w:r>
        <w:rPr>
          <w:rFonts w:cs="Liberation Serif" w:ascii="Liberation Serif" w:hAnsi="Liberation Serif"/>
          <w:sz w:val="24"/>
          <w:szCs w:val="24"/>
        </w:rPr>
        <w:t xml:space="preserve">хемой теплоснабжения Тугулымского городского округа на период с 2023 по 2037 годы, утвержденная </w:t>
      </w:r>
      <w:r>
        <w:rPr>
          <w:rFonts w:cs="Liberation Serif" w:ascii="Liberation Serif" w:hAnsi="Liberation Serif"/>
          <w:sz w:val="24"/>
          <w:szCs w:val="24"/>
          <w:lang w:eastAsia="ru-RU"/>
        </w:rPr>
        <w:t>постановлением администрации Тугулымского городского округа от 01.03.2023 № 73 «Об утверждении схемы теплоснабжения Тугулымского городского округа на период с 2023 по 2037 годы».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В целях соблюдения действующего законодательства в области тарифообразования в коммунальном комплексе допускается разбивка инвестиционной программы на этапы реализации, но не менее чем на три года каждый.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3.3. Приоритеты развития и модернизации систем теплоснабжения, водоснабжения </w:t>
        <w:br/>
        <w:t xml:space="preserve">и водоотведения муниципального унитарного предприятия «УЖКХ и АТ ТМО», предусматриваемые в инвестиционной программе, определяются в соответствии с целевыми индикаторами настоящего технического задания.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3.4. Мероприятия инвестиционной программы должны обеспечивать надежность и качество работы вновь создаваемых, реконструируемых и модернизируемых объектов системы водоснабжения и водоотведения в соответствии со СП 31.13330.2012, СП 32.13330.2012, </w:t>
      </w:r>
      <w:r>
        <w:rPr>
          <w:rFonts w:cs="Liberation Serif" w:ascii="Liberation Serif" w:hAnsi="Liberation Serif"/>
          <w:sz w:val="24"/>
          <w:szCs w:val="24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и СанПиН1.2.3685-21 «Гигиенические нормативы и требования к обеспечению безопасности и (или) безвредности для человека факторов среды обитания»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 и нормами допустимых сбросов загрязняющих веществ в водные объекты. В ходе осуществления мероприятий инвестиционной программы подлежат применению только технологии, обеспечивающие нормативные параметры требований СанПиН </w:t>
      </w:r>
      <w:r>
        <w:rPr>
          <w:rFonts w:cs="Liberation Serif" w:ascii="Liberation Serif" w:hAnsi="Liberation Serif"/>
          <w:sz w:val="24"/>
          <w:szCs w:val="24"/>
        </w:rPr>
        <w:t>2.1.3684-21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, утвержденные нормы ПДК и требования СП. 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Ожидаемые результаты инвестиционной программы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Реализация инвестиционной программы </w:t>
      </w:r>
      <w:r>
        <w:rPr>
          <w:rFonts w:cs="Liberation Serif" w:ascii="Liberation Serif" w:hAnsi="Liberation Serif"/>
          <w:sz w:val="24"/>
          <w:szCs w:val="24"/>
        </w:rPr>
        <w:t xml:space="preserve">развития систем теплоснабжения, водоснабжения и водоотведения </w:t>
      </w:r>
      <w:r>
        <w:rPr>
          <w:rFonts w:cs="Liberation Serif" w:ascii="Liberation Serif" w:hAnsi="Liberation Serif"/>
          <w:sz w:val="24"/>
          <w:szCs w:val="24"/>
          <w:lang w:eastAsia="ru-RU"/>
        </w:rPr>
        <w:t>Тугулымского муниципального округа на 2026-2031 годы при реализации проекта в дальнейшем позволит получить результаты в системах теплоснабжения, водоснабжения и водоотведения Тугулымского муниципального округа: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4.1 Технические и технологические: 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снижение аварий и отказов в системах теплоснабжения, водоснабжения </w:t>
        <w:br/>
        <w:t>и водоотведения до минимально достижимого уровня,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достижение целевых показателей качества и надежности работы коммунальной инфраструктуры.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4.2 Социальные: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повышение качественных показателей степени благоустройства жителей выше указанных населенных пунктов,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повышение качественных показателей питьевой воды в системе водоснабжения.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4.3 Экономические: 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снижение неучтенных расходов и потерь, снижение затрат электроэнергии на подъем, очистку и подачу воды потребителям, 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снижение затрат электроэнергии на отведение, очистку и сброс очищенных сточных вод в водные объекты,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увеличение доли очищаемой сточной жидкости на очистных сооружениях канализации, использующих наилучшие доступные технологии очистки сточных вод.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В результате реализации мероприятий должны быть достигнуты планируемые значения показателей надежности, качества и энергетической эффективности объектов централизованных систем холодного водоснабжения и водоотведения, указанные в </w:t>
      </w:r>
      <w:hyperlink r:id="rId2">
        <w:r>
          <w:rPr>
            <w:rStyle w:val="Style7"/>
            <w:rFonts w:cs="Liberation Serif" w:ascii="Liberation Serif" w:hAnsi="Liberation Serif"/>
            <w:sz w:val="24"/>
            <w:szCs w:val="24"/>
          </w:rPr>
          <w:t>приложении</w:t>
        </w:r>
      </w:hyperlink>
      <w:r>
        <w:rPr>
          <w:rFonts w:cs="Liberation Serif" w:ascii="Liberation Serif" w:hAnsi="Liberation Serif"/>
          <w:sz w:val="24"/>
          <w:szCs w:val="24"/>
        </w:rPr>
        <w:t xml:space="preserve"> к техническому заданию.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5. Структура инвестиционной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Инвестиционная программа должна содержать: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1) паспорт инвестиционной программы, включающий следующую информацию: 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наименование регулируемой организации, в отношении которой разрабатывается инвестиционная программа, ее местонахождение, 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наименование уполномоченного органа, утвердившего инвестиционную программу, его местонахождение, 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наименование органа местного самоуправления, согласующего инвестиционную программу (при необходимости), его местонахождение, 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1134" w:leader="none"/>
        </w:tabs>
        <w:spacing w:lineRule="auto" w:line="240" w:before="0" w:after="0"/>
        <w:ind w:firstLine="709" w:left="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наименование территориального органа федерального органа исполнительной власти, осуществляющего федеральный государственный санитарный эпидемиологический надзор, согласовавшего план мероприятий.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2) целевые показатели деятельности регулируемой организации, в том числе: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eastAsia="Symbol" w:cs="Symbol" w:ascii="Symbol" w:hAnsi="Symbol"/>
          <w:sz w:val="24"/>
          <w:szCs w:val="24"/>
          <w:lang w:eastAsia="ru-RU"/>
        </w:rPr>
        <w:sym w:font="Symbol" w:char="f02d"/>
      </w:r>
      <w:r>
        <w:rPr>
          <w:rFonts w:cs="Liberation Serif" w:ascii="Liberation Serif" w:hAnsi="Liberation Serif"/>
          <w:sz w:val="24"/>
          <w:szCs w:val="24"/>
          <w:lang w:eastAsia="ru-RU"/>
        </w:rPr>
        <w:t>показатели энергосбережения и повышения энергетической эффективности, установленные уполномоченным органом исполнительной власти субъекта Российской Федерации или уполномоченным органом местного самоуправления поселения (муниципального округа), отдельно на каждый год в течение срока реализации инвестиционной программы,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3) перечень мероприятий по подготовке проектной документации, строительству, реконструкции и (или) модернизации объектов централизованных систем водоснабжения и (или) водоотведения, краткое описание мероприятий инвестиционной программы, в том числе обоснование их необходимости, описание (место расположения) строящихся, реконструируемых и модернизируемых объектов централизованных систем водоснабжения, обеспечивающее однозначную идентификацию таких объектов, основные технические характеристики таких объектов до и после реализации мероприятия,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4) сроки реализации мероприятий инвестиционной программы, включая график ввода объекта в эксплуатацию,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5) сведения об объеме финансовых потребностей, необходимых </w:t>
        <w:br/>
        <w:t>для реализации инвестиционной программы, с разбивкой по отдельным мероприятиям инвестиционной программы, с указанием источников финансирования инвестиционной программы,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6) оценка эффективности инвестирования средств, осуществляемый путем сопоставления динамики изменения целевых показателей деятельности регулируемой организации и расходов на реализацию инвестиционной программы в период ее срока действия,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7) предварительный расчет тарифов в сфере водоснабжения </w:t>
        <w:br/>
        <w:t xml:space="preserve">и (или) водоотведения на период реализации инвестиционной программы,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8) в инвестиционную программу включаются мероприятия </w:t>
        <w:br/>
        <w:t xml:space="preserve">по строительству и модернизации систем водоснабжения и водоотведения, направленные на повышение качества услуг, улучшение экологической ситуации.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При </w:t>
      </w:r>
      <w:r>
        <w:rPr>
          <w:rFonts w:cs="Liberation Serif" w:ascii="Liberation Serif" w:hAnsi="Liberation Serif"/>
          <w:sz w:val="24"/>
          <w:szCs w:val="24"/>
        </w:rPr>
        <w:t xml:space="preserve">выполнении проектных и изыскательских работ в целях реконструкции объекта 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существующих очистных сооружений канализации </w:t>
        <w:br/>
        <w:t xml:space="preserve">и </w:t>
      </w:r>
      <w:r>
        <w:rPr>
          <w:rFonts w:cs="Liberation Serif" w:ascii="Liberation Serif" w:hAnsi="Liberation Serif"/>
          <w:sz w:val="24"/>
          <w:szCs w:val="24"/>
        </w:rPr>
        <w:t>линейного объекта (водовода)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 предусмотреть </w:t>
      </w:r>
      <w:r>
        <w:rPr>
          <w:rFonts w:cs="Liberation Serif" w:ascii="Liberation Serif" w:hAnsi="Liberation Serif"/>
          <w:sz w:val="24"/>
          <w:szCs w:val="24"/>
        </w:rPr>
        <w:t>мероприятия по защите централизованных систем теплоснабжения, водоснабжения и (или) водоотведения 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ситуаций.</w:t>
      </w:r>
    </w:p>
    <w:p>
      <w:pPr>
        <w:pStyle w:val="Normal"/>
        <w:spacing w:before="0" w:after="0"/>
        <w:ind w:firstLine="708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6. Сроки разработки инвестиционной программы 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Инвестиционная программа разрабатывается организацией </w:t>
        <w:br/>
        <w:t>МУП «УЖКХ и АТ ТМО» с момента утверждения настоящего технического задания и направляется в Региональную энергетическую комиссию Свердловской области и Министерство энергетики и жилищно-коммунального хозяйства Свердловской области для согласования и утверждения.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7. Сроки реализации инвестиционной программы 2026-2031 годы.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8. Мероприятия, реализуемые в рамках инвестиционной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Разработка проектно-сметной документации по перечню мероприятий по строительству, модернизации и реконструкции объектов теплоснабжения, водоснабжения </w:t>
        <w:br/>
        <w:t>и водоотведения, подлежащих включению в данную инвестиционную программу. А также реализация мероприятий по строительству и реконструкции, имеющих проектно-сметную документацию.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8.1 Мероприятия, реализуемые в сфере холодного водоснабжения: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Разработка проектов зон санитарной охраны источников водоснабжения,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Получение санитарно-эпидемиологического заключения о соответствии проектов зон санитарной охраны источников водоснабжения санитарным нормам и правилам,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Обустройство источников нецентрализованного водоснабжения (колодцы),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Обустройство источников централизованного водоснабжения (колонки),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Разработка проекта строительства системы водоснабжения в микрорайоне «Западный» в п.г.т. Тугулым,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- Разработка проекта строительства системы водоснабжения в микрорайоне </w:t>
      </w:r>
      <w:bookmarkStart w:id="4" w:name="_Hlk127447072"/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«Восточный» </w:t>
      </w:r>
      <w:bookmarkEnd w:id="4"/>
      <w:r>
        <w:rPr>
          <w:rFonts w:cs="Liberation Serif" w:ascii="Liberation Serif" w:hAnsi="Liberation Serif"/>
          <w:sz w:val="24"/>
          <w:szCs w:val="24"/>
          <w:lang w:eastAsia="ru-RU"/>
        </w:rPr>
        <w:t>в п.г.т. Тугулым,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Разработка проекта реконструкции водозабора в п.г.т. Тугулым с установкой водоочистных сооружений,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Разработка проекта реконструкции водозабора в п. Юшала с установкой водоочистных сооружений,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Строительство сетей водоснабжения в микрорайоне «Западный» в п.г.т. Тугулым;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Строительство сетей водоснабжения в микрорайоне «Восточный» в п.г.т. Тугулым,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Реконструкция водозабора в п.г.т. Тугулым,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Реконструкция водозабора в п. Юшала,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Разработка проекта строительства водозаборных скважин в п. Юшала с целью ухода от открытых источников водоснабжения,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Строительство водозаборной скважины в п. Юшала,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Ремонт сетей водоснабжения на территории Тугулымского муниципального округа,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Реконструкция станции водоочистки в п. Луговской,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Замена погружных центробежных насосов на системах водоснабжения на территории Тугулымского муниципального округа,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 Разработка проекта реконструкции водозабора в п. Заводоуспенское,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Реконструкция водозабора в п. Заводоуспенское с установкой водоочистных сооружений,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Разработка проекта строительства водозаборной скважины в п. Заводоуспенское с целью ухода от открытых источников водоснабжения.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8.2. Мероприятия, реализуемые в сфере водоотведения: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Разработка проекта строительства системы водоотведения в микрорайоне «Западный» в п.г.т. Тугулым,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</w:rPr>
        <w:t xml:space="preserve">- </w:t>
      </w:r>
      <w:r>
        <w:rPr>
          <w:rFonts w:cs="Liberation Serif" w:ascii="Liberation Serif" w:hAnsi="Liberation Serif"/>
          <w:sz w:val="24"/>
          <w:szCs w:val="24"/>
          <w:lang w:eastAsia="ru-RU"/>
        </w:rPr>
        <w:t>Разработка проекта строительства системы водоотведения в микрорайоне «Восточный» в п.г.т. Тугулым,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Строительство сетей водоотведения в микрорайоне «Восточный» в п.г.т. Тугулым,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Строительство сетей водоотведения в микрорайоне «Западный» в п.г.т. Тугулым,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Ремонт сетей водоотведения на территории Тугулымского муниципального округа,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Реконструкция и ввод в эксплуатацию канализационных очистных сооружений в п.г.т. Тугулым,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Замена насосов на системах водоотведения на территории Тугулымского муниципального округа.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</w:t>
      </w:r>
      <w:r>
        <w:rPr>
          <w:rFonts w:cs="Liberation Serif" w:ascii="Liberation Serif" w:hAnsi="Liberation Serif"/>
        </w:rPr>
        <w:t xml:space="preserve"> Р</w:t>
      </w: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емонт участка тепловой сети котельной № 1 от здания ДК по ул. Октябрьская до здания ЦТД по ул. Войкова,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Ремонт в части замены участка тепловой сети пгт Тугулым от колодца № 4 котельной № 2, до здания морга и гаражей ЦРБ - Ду40, L-34м; Ду57 L-15м,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Ремонт участка тепловой сети котельной № 2 по ул. Школьная, от колодца № 1,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до дома № 36,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Ремонт в части замены участка тепловой сети пгт Тугулым по ул. Школьная,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от котельной № 2, до ул. Пионерская, д.36, от дома № 36, до домов № 54; 30 и от ТК № 6,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>- Ремонт участка тепловой сети Котельной № 8 от ТК № 7 до здания ПЧ РЖД,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- Ремонт участка тепловой сети от котельной № 9 до здания гаража школы,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  <w:sectPr>
          <w:type w:val="nextPage"/>
          <w:pgSz w:w="11906" w:h="16838"/>
          <w:pgMar w:left="1491" w:right="848" w:gutter="0" w:header="0" w:top="1134" w:footer="0" w:bottom="1134"/>
          <w:pgNumType w:start="2" w:fmt="decimal"/>
          <w:formProt w:val="false"/>
          <w:textDirection w:val="lrTb"/>
          <w:docGrid w:type="default" w:linePitch="360" w:charSpace="0"/>
        </w:sectPr>
      </w:pPr>
      <w:r>
        <w:rPr>
          <w:rFonts w:cs="Liberation Serif" w:ascii="Liberation Serif" w:hAnsi="Liberation Serif"/>
          <w:sz w:val="24"/>
          <w:szCs w:val="24"/>
          <w:lang w:eastAsia="ru-RU"/>
        </w:rPr>
        <w:t xml:space="preserve">- Перевод угольных котельных № 8 и № 9 на газ.            </w:t>
      </w:r>
    </w:p>
    <w:p>
      <w:pPr>
        <w:pStyle w:val="Normal"/>
        <w:spacing w:lineRule="auto" w:line="240" w:before="0" w:after="0"/>
        <w:ind w:left="10348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Приложение 1</w:t>
      </w:r>
    </w:p>
    <w:p>
      <w:pPr>
        <w:pStyle w:val="Normal"/>
        <w:spacing w:lineRule="auto" w:line="240" w:before="0" w:after="0"/>
        <w:ind w:left="10348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к техническому заданию</w:t>
      </w:r>
    </w:p>
    <w:p>
      <w:pPr>
        <w:pStyle w:val="Normal"/>
        <w:spacing w:lineRule="auto" w:line="240" w:before="0" w:after="0"/>
        <w:ind w:left="12036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Показатели надежности, качества, энергетической эффективности объектов централизованных систем холодного водоснабжения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tbl>
      <w:tblPr>
        <w:tblpPr w:vertAnchor="text" w:horzAnchor="text" w:leftFromText="180" w:rightFromText="180" w:tblpX="0" w:tblpY="1"/>
        <w:tblOverlap w:val="never"/>
        <w:tblW w:w="1488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528"/>
        <w:gridCol w:w="2981"/>
        <w:gridCol w:w="2977"/>
        <w:gridCol w:w="1877"/>
        <w:gridCol w:w="1417"/>
        <w:gridCol w:w="993"/>
        <w:gridCol w:w="991"/>
        <w:gridCol w:w="851"/>
        <w:gridCol w:w="710"/>
        <w:gridCol w:w="850"/>
        <w:gridCol w:w="709"/>
      </w:tblGrid>
      <w:tr>
        <w:trPr>
          <w:trHeight w:val="397" w:hRule="atLeast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Фактические значения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Плановые значения</w:t>
            </w:r>
          </w:p>
        </w:tc>
      </w:tr>
      <w:tr>
        <w:trPr>
          <w:trHeight w:val="380" w:hRule="atLeast"/>
        </w:trPr>
        <w:tc>
          <w:tcPr>
            <w:tcW w:w="5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8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2031 год</w:t>
            </w:r>
          </w:p>
        </w:tc>
      </w:tr>
      <w:tr>
        <w:trPr>
          <w:trHeight w:val="266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8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Показатели надежности и бесперебойности водоснабжения</w:t>
            </w:r>
          </w:p>
        </w:tc>
      </w:tr>
      <w:tr>
        <w:trPr>
          <w:trHeight w:val="2178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Пн=Ка/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L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сети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Количество зафиксированных перерывов в подаче холодной воды, возникших в результате аварий, повреждений и иных технологических нарушений в расчете на протяженность сети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Ед.в год/км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0,24</w:t>
            </w:r>
          </w:p>
        </w:tc>
      </w:tr>
      <w:tr>
        <w:trPr>
          <w:trHeight w:val="59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Количество зафиксированных перерывов в подаче холодной воды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Ед.в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26</w:t>
            </w:r>
          </w:p>
        </w:tc>
      </w:tr>
      <w:tr>
        <w:trPr>
          <w:trHeight w:val="489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L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сети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Общая протяженность сети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107</w:t>
            </w:r>
          </w:p>
        </w:tc>
      </w:tr>
      <w:tr>
        <w:trPr>
          <w:trHeight w:val="266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8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Показатели качества питьевой воды</w:t>
            </w:r>
          </w:p>
        </w:tc>
      </w:tr>
      <w:tr>
        <w:trPr>
          <w:trHeight w:val="2445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Дпс= (Кнп/Кп)*100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6,4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tbl>
      <w:tblPr>
        <w:tblW w:w="14884" w:type="dxa"/>
        <w:jc w:val="left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568"/>
        <w:gridCol w:w="2974"/>
        <w:gridCol w:w="2978"/>
        <w:gridCol w:w="1843"/>
        <w:gridCol w:w="1417"/>
        <w:gridCol w:w="994"/>
        <w:gridCol w:w="990"/>
        <w:gridCol w:w="851"/>
        <w:gridCol w:w="710"/>
        <w:gridCol w:w="850"/>
        <w:gridCol w:w="709"/>
      </w:tblGrid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Кнп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Количество проб не соответствующих установленным требованиям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Ед.в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Общий объем проб, отобранных по результатам производственного контроля качества питьевой воды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Ед.в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156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Показатели энергетической эффективности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Дпв=(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пот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 xml:space="preserve"> /V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общ)*100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9,7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пот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Объем потерь воды в централизованных системах водоснабжения при транспортировке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Тыс.м</w:t>
            </w:r>
            <w:r>
              <w:rPr>
                <w:rFonts w:cs="Liberation Serif" w:ascii="Liberation Serif" w:hAnsi="Liberation Serif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общий объем воды, поданной в водопроводную сеть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Тыс.м</w:t>
            </w:r>
            <w:r>
              <w:rPr>
                <w:rFonts w:cs="Liberation Serif" w:ascii="Liberation Serif" w:hAnsi="Liberation Serif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Урп=Кэ/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 xml:space="preserve"> 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Удельный расход электрической энергии, потребляемой в технологическом процессе подготовки и транспортировке питьевой воды, на единицу объема воды, отпускаемой в сеть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Тыс.кВт.ч/ м</w:t>
            </w:r>
            <w:r>
              <w:rPr>
                <w:rFonts w:cs="Liberation Serif" w:ascii="Liberation Serif" w:hAnsi="Liberation Serif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0,93</w:t>
            </w:r>
          </w:p>
        </w:tc>
      </w:tr>
    </w:tbl>
    <w:p>
      <w:pPr>
        <w:pStyle w:val="Normal"/>
        <w:spacing w:before="0" w:after="0"/>
        <w:rPr>
          <w:rFonts w:ascii="Liberation Serif" w:hAnsi="Liberation Serif" w:cs="Liberation Serif"/>
          <w:vanish/>
        </w:rPr>
      </w:pPr>
      <w:r>
        <w:rPr>
          <w:rFonts w:cs="Liberation Serif" w:ascii="Liberation Serif" w:hAnsi="Liberation Serif"/>
          <w:vanish/>
        </w:rPr>
      </w:r>
    </w:p>
    <w:tbl>
      <w:tblPr>
        <w:tblpPr w:vertAnchor="text" w:horzAnchor="margin" w:leftFromText="180" w:rightFromText="180" w:tblpX="0" w:tblpY="426"/>
        <w:tblW w:w="1485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534"/>
        <w:gridCol w:w="2976"/>
        <w:gridCol w:w="2976"/>
        <w:gridCol w:w="1843"/>
        <w:gridCol w:w="1418"/>
        <w:gridCol w:w="992"/>
        <w:gridCol w:w="992"/>
        <w:gridCol w:w="851"/>
        <w:gridCol w:w="707"/>
        <w:gridCol w:w="852"/>
        <w:gridCol w:w="709"/>
      </w:tblGrid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Кэ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Общее количество электрической энергии, потребляемой в технологическом процессе подготовки и транспортировке питьевой воды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Тыс.кВт.ч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193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общий объем воды, поданной в водопроводную сеть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Тыс.м</w:t>
            </w:r>
            <w:r>
              <w:rPr>
                <w:rFonts w:cs="Liberation Serif" w:ascii="Liberation Serif" w:hAnsi="Liberation Serif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206</w:t>
            </w:r>
          </w:p>
        </w:tc>
      </w:tr>
    </w:tbl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before="0" w:after="20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Показатели надежности, качества, энергетической эффективности объектов централизованных систем водоотведения</w:t>
      </w:r>
    </w:p>
    <w:tbl>
      <w:tblPr>
        <w:tblW w:w="14884" w:type="dxa"/>
        <w:jc w:val="left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568"/>
        <w:gridCol w:w="2974"/>
        <w:gridCol w:w="2978"/>
        <w:gridCol w:w="1843"/>
        <w:gridCol w:w="1417"/>
        <w:gridCol w:w="994"/>
        <w:gridCol w:w="990"/>
        <w:gridCol w:w="851"/>
        <w:gridCol w:w="710"/>
        <w:gridCol w:w="850"/>
        <w:gridCol w:w="709"/>
      </w:tblGrid>
      <w:tr>
        <w:trPr>
          <w:trHeight w:val="402" w:hRule="atLeast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Фактические значения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Плановые значения</w:t>
            </w:r>
          </w:p>
        </w:tc>
      </w:tr>
      <w:tr>
        <w:trPr>
          <w:trHeight w:val="385" w:hRule="atLeast"/>
        </w:trPr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2031 год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Показатели надежности и бесперебойности водоотведения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Пн=Ка/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L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сети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Удельное количество аварий и засоров в расчете на протяженность сетей хозяйственно-бытовой системы водоотведения в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Ед.в год/км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0,5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Количество зафиксированных аварий и засоров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Ед.в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L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сети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Общая протяженность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20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Показатели качества очистки сточных вод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Днеоч=(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пот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 xml:space="preserve"> /V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общ)*100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Доля хозяйственно-бытовых сточных вод в общем объеме хозяйственно-бытовых сточных вод, поступивших в хозяйственно-бытовую систему водоотведения, не подвергающихся очистке.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9,7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Дне соот=(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>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пот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 xml:space="preserve"> /V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общ)*100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Доля проб сточных вод, не соответствующих установленным нормативам допустимых сбросов, лимитам на сбросы, рассчитанных для хозяйственно-бытовой системы водоотведения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9,7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Показатели энергетической эффективности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Урп=Кэ/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 xml:space="preserve"> 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34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</w:t>
            </w:r>
          </w:p>
          <w:p>
            <w:pPr>
              <w:pStyle w:val="Normal"/>
              <w:spacing w:lineRule="auto" w:line="240" w:before="0" w:after="0"/>
              <w:ind w:left="34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сточных вод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Тыс.кВт.ч/ м</w:t>
            </w:r>
            <w:r>
              <w:rPr>
                <w:rFonts w:cs="Liberation Serif" w:ascii="Liberation Serif" w:hAnsi="Liberation Serif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0,93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Урп=Кэ/</w:t>
            </w:r>
            <w:r>
              <w:rPr>
                <w:rFonts w:cs="Liberation Serif" w:ascii="Liberation Serif" w:hAnsi="Liberation Serif"/>
                <w:sz w:val="24"/>
                <w:szCs w:val="24"/>
                <w:lang w:val="en-US" w:eastAsia="ru-RU"/>
              </w:rPr>
              <w:t xml:space="preserve"> V</w:t>
            </w: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общ)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39"/>
              <w:ind w:left="34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Тыс.кВт.ч/ м</w:t>
            </w:r>
            <w:r>
              <w:rPr>
                <w:rFonts w:cs="Liberation Serif" w:ascii="Liberation Serif" w:hAnsi="Liberation Serif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ru-RU"/>
              </w:rPr>
              <w:t>0,93</w:t>
            </w:r>
          </w:p>
        </w:tc>
      </w:tr>
    </w:tbl>
    <w:p>
      <w:pPr>
        <w:sectPr>
          <w:type w:val="nextPage"/>
          <w:pgSz w:orient="landscape" w:w="16838" w:h="11906"/>
          <w:pgMar w:left="992" w:right="992" w:gutter="0" w:header="0" w:top="851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before="0" w:after="0"/>
        <w:jc w:val="both"/>
        <w:rPr>
          <w:rFonts w:ascii="Liberation Serif" w:hAnsi="Liberation Serif" w:cs="Liberation Serif"/>
          <w:lang w:eastAsia="ru-RU"/>
        </w:rPr>
      </w:pPr>
      <w:r>
        <w:rPr>
          <w:rFonts w:cs="Liberation Serif" w:ascii="Liberation Serif" w:hAnsi="Liberation Serif"/>
          <w:lang w:eastAsia="ru-RU"/>
        </w:rPr>
      </w:r>
    </w:p>
    <w:sectPr>
      <w:type w:val="nextPage"/>
      <w:pgSz w:w="11906" w:h="16838"/>
      <w:pgMar w:left="1134" w:right="851" w:gutter="0" w:header="0" w:top="993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swiss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1095" w:hanging="735"/>
      </w:pPr>
      <w:rPr/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95" w:hanging="735"/>
      </w:pPr>
      <w:rPr/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2">
    <w:lvl w:ilvl="0">
      <w:start w:val="1"/>
      <w:numFmt w:val="bullet"/>
      <w:lvlText w:val="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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72"/>
  <w:embedSystemFonts/>
  <w:defaultTabStop w:val="708"/>
  <w:autoHyphenation w:val="true"/>
  <w:hyphenationZone w:val="360"/>
  <w:doNotHyphenateCaps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11b2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99"/>
    <w:qFormat/>
    <w:rsid w:val="003f454d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2"/>
    <w:uiPriority w:val="99"/>
    <w:qFormat/>
    <w:rsid w:val="000f7323"/>
    <w:pPr>
      <w:keepNext w:val="true"/>
      <w:keepLines/>
      <w:spacing w:before="200" w:after="0"/>
      <w:outlineLvl w:val="1"/>
    </w:pPr>
    <w:rPr>
      <w:rFonts w:ascii="Cambria" w:hAnsi="Cambria" w:eastAsia="Times New Roman" w:cs="Cambria"/>
      <w:b/>
      <w:bCs/>
      <w:color w:val="4F81BD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9"/>
    <w:qFormat/>
    <w:locked/>
    <w:rsid w:val="003f454d"/>
    <w:rPr>
      <w:rFonts w:ascii="Times New Roman" w:hAnsi="Times New Roman" w:cs="Times New Roman"/>
      <w:b/>
      <w:bCs/>
      <w:kern w:val="2"/>
      <w:sz w:val="48"/>
      <w:szCs w:val="48"/>
      <w:lang w:eastAsia="ru-RU"/>
    </w:rPr>
  </w:style>
  <w:style w:type="character" w:styleId="2" w:customStyle="1">
    <w:name w:val="Заголовок 2 Знак"/>
    <w:uiPriority w:val="99"/>
    <w:semiHidden/>
    <w:qFormat/>
    <w:locked/>
    <w:rsid w:val="000f7323"/>
    <w:rPr>
      <w:rFonts w:ascii="Cambria" w:hAnsi="Cambria" w:cs="Cambria"/>
      <w:b/>
      <w:bCs/>
      <w:color w:val="4F81BD"/>
      <w:sz w:val="26"/>
      <w:szCs w:val="26"/>
    </w:rPr>
  </w:style>
  <w:style w:type="character" w:styleId="blk" w:customStyle="1">
    <w:name w:val="blk"/>
    <w:basedOn w:val="DefaultParagraphFont"/>
    <w:uiPriority w:val="99"/>
    <w:qFormat/>
    <w:rsid w:val="003f454d"/>
    <w:rPr/>
  </w:style>
  <w:style w:type="character" w:styleId="hl" w:customStyle="1">
    <w:name w:val="hl"/>
    <w:basedOn w:val="DefaultParagraphFont"/>
    <w:uiPriority w:val="99"/>
    <w:qFormat/>
    <w:rsid w:val="003f454d"/>
    <w:rPr/>
  </w:style>
  <w:style w:type="character" w:styleId="Hyperlink">
    <w:name w:val="Hyperlink"/>
    <w:uiPriority w:val="99"/>
    <w:semiHidden/>
    <w:rsid w:val="003f454d"/>
    <w:rPr>
      <w:color w:val="0000FF"/>
      <w:u w:val="single"/>
    </w:rPr>
  </w:style>
  <w:style w:type="character" w:styleId="nobr" w:customStyle="1">
    <w:name w:val="nobr"/>
    <w:basedOn w:val="DefaultParagraphFont"/>
    <w:uiPriority w:val="99"/>
    <w:qFormat/>
    <w:rsid w:val="003f454d"/>
    <w:rPr/>
  </w:style>
  <w:style w:type="character" w:styleId="z-" w:customStyle="1">
    <w:name w:val="z-Начало формы Знак"/>
    <w:link w:val="HTMLTopofForm"/>
    <w:uiPriority w:val="99"/>
    <w:semiHidden/>
    <w:qFormat/>
    <w:locked/>
    <w:rsid w:val="000f7323"/>
    <w:rPr>
      <w:rFonts w:ascii="Arial" w:hAnsi="Arial" w:cs="Arial"/>
      <w:vanish/>
      <w:sz w:val="16"/>
      <w:szCs w:val="16"/>
      <w:lang w:eastAsia="ru-RU"/>
    </w:rPr>
  </w:style>
  <w:style w:type="character" w:styleId="z-1" w:customStyle="1">
    <w:name w:val="z-Конец формы Знак"/>
    <w:link w:val="HTMLBottomofForm"/>
    <w:uiPriority w:val="99"/>
    <w:semiHidden/>
    <w:qFormat/>
    <w:locked/>
    <w:rsid w:val="000f7323"/>
    <w:rPr>
      <w:rFonts w:ascii="Arial" w:hAnsi="Arial" w:cs="Arial"/>
      <w:vanish/>
      <w:sz w:val="16"/>
      <w:szCs w:val="16"/>
      <w:lang w:eastAsia="ru-RU"/>
    </w:rPr>
  </w:style>
  <w:style w:type="character" w:styleId="Strong">
    <w:name w:val="Strong"/>
    <w:uiPriority w:val="22"/>
    <w:qFormat/>
    <w:rsid w:val="000f7323"/>
    <w:rPr>
      <w:b/>
      <w:bCs/>
    </w:rPr>
  </w:style>
  <w:style w:type="character" w:styleId="ya-share2counter" w:customStyle="1">
    <w:name w:val="ya-share2__counter"/>
    <w:basedOn w:val="DefaultParagraphFont"/>
    <w:uiPriority w:val="99"/>
    <w:qFormat/>
    <w:rsid w:val="000f7323"/>
    <w:rPr/>
  </w:style>
  <w:style w:type="character" w:styleId="bxhtmled-top-bar-btn-text" w:customStyle="1">
    <w:name w:val="bxhtmled-top-bar-btn-text"/>
    <w:basedOn w:val="DefaultParagraphFont"/>
    <w:uiPriority w:val="99"/>
    <w:qFormat/>
    <w:rsid w:val="000f7323"/>
    <w:rPr/>
  </w:style>
  <w:style w:type="character" w:styleId="bxhtmled-top-bar-select" w:customStyle="1">
    <w:name w:val="bxhtmled-top-bar-select"/>
    <w:basedOn w:val="DefaultParagraphFont"/>
    <w:uiPriority w:val="99"/>
    <w:qFormat/>
    <w:rsid w:val="000f7323"/>
    <w:rPr/>
  </w:style>
  <w:style w:type="character" w:styleId="js-phone-number" w:customStyle="1">
    <w:name w:val="js-phone-number"/>
    <w:basedOn w:val="DefaultParagraphFont"/>
    <w:uiPriority w:val="99"/>
    <w:qFormat/>
    <w:rsid w:val="00d85ea6"/>
    <w:rPr/>
  </w:style>
  <w:style w:type="character" w:styleId="FontStyle15" w:customStyle="1">
    <w:name w:val="Font Style15"/>
    <w:uiPriority w:val="99"/>
    <w:qFormat/>
    <w:rsid w:val="00d55c3c"/>
    <w:rPr>
      <w:rFonts w:ascii="Times New Roman" w:hAnsi="Times New Roman" w:cs="Times New Roman"/>
      <w:sz w:val="22"/>
      <w:szCs w:val="22"/>
    </w:rPr>
  </w:style>
  <w:style w:type="character" w:styleId="sr-only" w:customStyle="1">
    <w:name w:val="sr-only"/>
    <w:basedOn w:val="DefaultParagraphFont"/>
    <w:uiPriority w:val="99"/>
    <w:qFormat/>
    <w:rsid w:val="003b4bb3"/>
    <w:rPr/>
  </w:style>
  <w:style w:type="character" w:styleId="Style12" w:customStyle="1">
    <w:name w:val="Текст выноски Знак"/>
    <w:link w:val="BalloonText"/>
    <w:uiPriority w:val="99"/>
    <w:semiHidden/>
    <w:qFormat/>
    <w:locked/>
    <w:rsid w:val="00e73219"/>
    <w:rPr>
      <w:rFonts w:ascii="Segoe UI" w:hAnsi="Segoe UI" w:cs="Segoe UI"/>
      <w:sz w:val="18"/>
      <w:szCs w:val="18"/>
    </w:rPr>
  </w:style>
  <w:style w:type="character" w:styleId="Style13" w:customStyle="1">
    <w:name w:val="Верхний колонтитул Знак"/>
    <w:basedOn w:val="DefaultParagraphFont"/>
    <w:uiPriority w:val="99"/>
    <w:qFormat/>
    <w:locked/>
    <w:rsid w:val="00e338b9"/>
    <w:rPr/>
  </w:style>
  <w:style w:type="character" w:styleId="Style14" w:customStyle="1">
    <w:name w:val="Нижний колонтитул Знак"/>
    <w:basedOn w:val="DefaultParagraphFont"/>
    <w:uiPriority w:val="99"/>
    <w:qFormat/>
    <w:locked/>
    <w:rsid w:val="00e338b9"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HTMLTopofForm">
    <w:name w:val="HTML Top of Form"/>
    <w:basedOn w:val="Normal"/>
    <w:next w:val="Normal"/>
    <w:link w:val="z-"/>
    <w:uiPriority w:val="99"/>
    <w:semiHidden/>
    <w:qFormat/>
    <w:rsid w:val="000f7323"/>
    <w:pPr>
      <w:pBdr>
        <w:bottom w:val="single" w:sz="6" w:space="1" w:color="000000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  <w:lang w:eastAsia="ru-RU"/>
    </w:rPr>
  </w:style>
  <w:style w:type="paragraph" w:styleId="HTMLBottomofForm">
    <w:name w:val="HTML Bottom of Form"/>
    <w:basedOn w:val="Normal"/>
    <w:next w:val="Normal"/>
    <w:link w:val="z-1"/>
    <w:uiPriority w:val="99"/>
    <w:semiHidden/>
    <w:qFormat/>
    <w:rsid w:val="000f7323"/>
    <w:pPr>
      <w:pBdr>
        <w:top w:val="single" w:sz="6" w:space="1" w:color="000000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  <w:lang w:eastAsia="ru-RU"/>
    </w:rPr>
  </w:style>
  <w:style w:type="paragraph" w:styleId="NormalWeb">
    <w:name w:val="Normal (Web)"/>
    <w:basedOn w:val="Normal"/>
    <w:uiPriority w:val="99"/>
    <w:qFormat/>
    <w:rsid w:val="000f732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msonormalmailrucssattributepostfix" w:customStyle="1">
    <w:name w:val="msonormal_mailru_css_attribute_postfix"/>
    <w:basedOn w:val="Normal"/>
    <w:uiPriority w:val="99"/>
    <w:qFormat/>
    <w:rsid w:val="00d85ea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c0b8b"/>
    <w:pPr>
      <w:ind w:left="720"/>
    </w:pPr>
    <w:rPr/>
  </w:style>
  <w:style w:type="paragraph" w:styleId="Default" w:customStyle="1">
    <w:name w:val="Default"/>
    <w:uiPriority w:val="99"/>
    <w:qFormat/>
    <w:rsid w:val="005e5d5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0"/>
      <w:kern w:val="0"/>
      <w:sz w:val="24"/>
      <w:szCs w:val="24"/>
      <w:lang w:val="ru-RU" w:eastAsia="zh-CN" w:bidi="ar-SA"/>
    </w:rPr>
  </w:style>
  <w:style w:type="paragraph" w:styleId="headertext" w:customStyle="1">
    <w:name w:val="headertext"/>
    <w:basedOn w:val="Normal"/>
    <w:uiPriority w:val="99"/>
    <w:qFormat/>
    <w:rsid w:val="00d8169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1" w:customStyle="1">
    <w:name w:val="Style3"/>
    <w:basedOn w:val="Normal"/>
    <w:uiPriority w:val="99"/>
    <w:qFormat/>
    <w:rsid w:val="00d55c3c"/>
    <w:pPr>
      <w:widowControl w:val="false"/>
      <w:spacing w:lineRule="exact" w:line="269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formattext" w:customStyle="1">
    <w:name w:val="formattext"/>
    <w:basedOn w:val="Normal"/>
    <w:uiPriority w:val="99"/>
    <w:qFormat/>
    <w:rsid w:val="00497f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2"/>
    <w:uiPriority w:val="99"/>
    <w:semiHidden/>
    <w:qFormat/>
    <w:rsid w:val="00e7321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1" w:customStyle="1">
    <w:name w:val="s_1"/>
    <w:basedOn w:val="Normal"/>
    <w:uiPriority w:val="99"/>
    <w:qFormat/>
    <w:rsid w:val="000a4d8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22" w:customStyle="1">
    <w:name w:val="s_22"/>
    <w:basedOn w:val="Normal"/>
    <w:uiPriority w:val="99"/>
    <w:qFormat/>
    <w:rsid w:val="000a4d8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3"/>
    <w:uiPriority w:val="99"/>
    <w:rsid w:val="00e338b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4"/>
    <w:uiPriority w:val="99"/>
    <w:rsid w:val="00e338b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18">
    <w:name w:val="Содержимое врезки"/>
    <w:basedOn w:val="Normal"/>
    <w:qFormat/>
    <w:pPr/>
    <w:rPr/>
  </w:style>
  <w:style w:type="paragraph" w:styleId="user3">
    <w:name w:val="Содержимое врезки (user)"/>
    <w:basedOn w:val="Normal"/>
    <w:qFormat/>
    <w:pPr/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99"/>
    <w:rsid w:val="00f45b1f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32978037B75F16998894DF8D0FDADBD865CE24DFE5512AD39EDB7BB9DA122111E76160936450D55B4918A6A14E23DE9935604717AB9B2850F36F1C3F3b0F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Application>LibreOffice/25.8.4.2$Linux_X86_64 LibreOffice_project/290daaa01b999472f0c7a3890eb6a550fd74c6df</Application>
  <AppVersion>15.0000</AppVersion>
  <Pages>12</Pages>
  <Words>2594</Words>
  <Characters>18908</Characters>
  <CharactersWithSpaces>21141</CharactersWithSpaces>
  <Paragraphs>397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2021-04-20T13:56:00Z</dcterms:created>
  <dc:creator>Наталья Глебовна</dc:creator>
  <dc:description/>
  <dc:language>ru-RU</dc:language>
  <cp:lastModifiedBy/>
  <cp:lastPrinted>2026-03-04T13:30:06Z</cp:lastPrinted>
  <dcterms:modified xsi:type="dcterms:W3CDTF">2026-03-04T13:38:28Z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